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附件1：</w:t>
      </w:r>
      <w:r>
        <w:rPr>
          <w:rFonts w:hint="eastAsia" w:asciiTheme="minorEastAsia" w:hAnsiTheme="minorEastAsia"/>
          <w:b/>
          <w:bCs/>
          <w:sz w:val="28"/>
          <w:szCs w:val="28"/>
        </w:rPr>
        <w:t xml:space="preserve"> </w:t>
      </w:r>
    </w:p>
    <w:p>
      <w:pPr>
        <w:rPr>
          <w:rFonts w:hint="eastAsia" w:asciiTheme="minorEastAsia" w:hAnsiTheme="minorEastAsia"/>
          <w:b/>
          <w:bCs/>
          <w:sz w:val="28"/>
          <w:szCs w:val="28"/>
        </w:rPr>
      </w:pPr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永善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县</w:t>
      </w:r>
      <w:r>
        <w:rPr>
          <w:rFonts w:hint="eastAsia" w:asciiTheme="minorEastAsia" w:hAnsiTheme="minorEastAsia"/>
          <w:b/>
          <w:sz w:val="44"/>
          <w:szCs w:val="44"/>
        </w:rPr>
        <w:t>“政采云”电子卖场供应商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入围协议书（第一批）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集采机构（甲方）：永善县政府采购和出让中心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供应商（乙方）：</w:t>
      </w:r>
      <w:bookmarkStart w:id="0" w:name="_GoBack"/>
      <w:bookmarkEnd w:id="0"/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根据《中华人民共和国政府采购法》等相关法律法规和《</w:t>
      </w:r>
      <w:r>
        <w:rPr>
          <w:rFonts w:hint="eastAsia" w:cs="宋体"/>
          <w:color w:val="333333"/>
          <w:kern w:val="0"/>
          <w:sz w:val="28"/>
          <w:szCs w:val="28"/>
        </w:rPr>
        <w:t>昭通市政府采购和出让中心</w:t>
      </w:r>
      <w:r>
        <w:rPr>
          <w:rFonts w:hint="eastAsia" w:cs="宋体"/>
          <w:color w:val="000000"/>
          <w:kern w:val="0"/>
          <w:sz w:val="28"/>
          <w:szCs w:val="28"/>
        </w:rPr>
        <w:t>关于</w:t>
      </w:r>
      <w:r>
        <w:rPr>
          <w:rFonts w:hint="eastAsia" w:asciiTheme="minorEastAsia" w:hAnsiTheme="minorEastAsia"/>
          <w:sz w:val="28"/>
          <w:szCs w:val="28"/>
        </w:rPr>
        <w:t>公开征集永善</w:t>
      </w:r>
      <w:r>
        <w:rPr>
          <w:rFonts w:hint="eastAsia" w:asciiTheme="minorEastAsia" w:hAnsiTheme="minorEastAsia"/>
          <w:sz w:val="28"/>
          <w:szCs w:val="28"/>
          <w:lang w:eastAsia="zh-CN"/>
        </w:rPr>
        <w:t>县</w:t>
      </w:r>
      <w:r>
        <w:rPr>
          <w:rFonts w:hint="eastAsia" w:asciiTheme="minorEastAsia" w:hAnsiTheme="minorEastAsia"/>
          <w:sz w:val="28"/>
          <w:szCs w:val="28"/>
        </w:rPr>
        <w:t>“政采云”电子卖场入围供应商（第一批）的公告》要求，经双方协商，达成以下条款。</w:t>
      </w:r>
    </w:p>
    <w:p>
      <w:pPr>
        <w:ind w:firstLine="562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第一条 </w:t>
      </w:r>
      <w:r>
        <w:rPr>
          <w:rFonts w:hint="eastAsia" w:asciiTheme="minorEastAsia" w:hAnsiTheme="minorEastAsia"/>
          <w:sz w:val="28"/>
          <w:szCs w:val="28"/>
        </w:rPr>
        <w:t>《永善</w:t>
      </w:r>
      <w:r>
        <w:rPr>
          <w:rFonts w:hint="eastAsia" w:asciiTheme="minorEastAsia" w:hAnsiTheme="minorEastAsia"/>
          <w:sz w:val="28"/>
          <w:szCs w:val="28"/>
          <w:lang w:eastAsia="zh-CN"/>
        </w:rPr>
        <w:t>县</w:t>
      </w:r>
      <w:r>
        <w:rPr>
          <w:rFonts w:hint="eastAsia" w:asciiTheme="minorEastAsia" w:hAnsiTheme="minorEastAsia"/>
          <w:sz w:val="28"/>
          <w:szCs w:val="28"/>
        </w:rPr>
        <w:t>“政采云”电子卖场供应商入围协议书》（第一批）（以下简称“协议书”）有效期为生</w:t>
      </w:r>
      <w:r>
        <w:rPr>
          <w:rFonts w:hint="eastAsia" w:asciiTheme="minorEastAsia" w:hAnsiTheme="minorEastAsia"/>
          <w:color w:val="auto"/>
          <w:sz w:val="28"/>
          <w:szCs w:val="28"/>
        </w:rPr>
        <w:t>效之日起至2020年</w:t>
      </w:r>
      <w:r>
        <w:rPr>
          <w:rFonts w:asciiTheme="minorEastAsia" w:hAnsiTheme="minorEastAsia"/>
          <w:color w:val="auto"/>
          <w:sz w:val="28"/>
          <w:szCs w:val="28"/>
        </w:rPr>
        <w:t>12</w:t>
      </w:r>
      <w:r>
        <w:rPr>
          <w:rFonts w:hint="eastAsia" w:asciiTheme="minorEastAsia" w:hAnsiTheme="minorEastAsia"/>
          <w:color w:val="auto"/>
          <w:sz w:val="28"/>
          <w:szCs w:val="28"/>
        </w:rPr>
        <w:t>月3</w:t>
      </w:r>
      <w:r>
        <w:rPr>
          <w:rFonts w:asciiTheme="minorEastAsia" w:hAnsiTheme="minorEastAsia"/>
          <w:color w:val="auto"/>
          <w:sz w:val="28"/>
          <w:szCs w:val="28"/>
        </w:rPr>
        <w:t>1</w:t>
      </w:r>
      <w:r>
        <w:rPr>
          <w:rFonts w:hint="eastAsia" w:asciiTheme="minorEastAsia" w:hAnsiTheme="minorEastAsia"/>
          <w:color w:val="auto"/>
          <w:sz w:val="28"/>
          <w:szCs w:val="28"/>
        </w:rPr>
        <w:t>日止，管理部门可视“电子卖场”执行情况酌情延长协议的</w:t>
      </w:r>
      <w:r>
        <w:rPr>
          <w:rFonts w:hint="eastAsia" w:asciiTheme="minorEastAsia" w:hAnsiTheme="minorEastAsia"/>
          <w:sz w:val="28"/>
          <w:szCs w:val="28"/>
        </w:rPr>
        <w:t>执行。乙方应根据其承诺，及时向采购单位提供高质量商品及服务，不得提出本协议书内容之外的任何附加条件。</w:t>
      </w:r>
    </w:p>
    <w:p>
      <w:pPr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第二条 乙方应是通过“政采云”平台注册入库的正式供应商。</w:t>
      </w:r>
    </w:p>
    <w:p>
      <w:pPr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第三条 服务范围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服务对象：永善县国家机关、事业单位和团体组织。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商品范围：</w:t>
      </w:r>
    </w:p>
    <w:p>
      <w:pPr>
        <w:widowControl/>
        <w:ind w:firstLine="480" w:firstLineChars="20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第一类：3C数码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</w:p>
    <w:p>
      <w:pPr>
        <w:widowControl/>
        <w:ind w:firstLine="480" w:firstLineChars="200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第二类：办公设备/耗材</w:t>
      </w:r>
    </w:p>
    <w:p>
      <w:pPr>
        <w:widowControl/>
        <w:ind w:firstLine="480" w:firstLineChars="20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第三类：家用电器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cs="宋体"/>
          <w:color w:val="333333"/>
          <w:kern w:val="0"/>
          <w:sz w:val="24"/>
          <w:szCs w:val="24"/>
        </w:rPr>
        <w:t>第四类：车辆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cs="宋体"/>
          <w:strike/>
          <w:color w:val="333333"/>
          <w:kern w:val="0"/>
          <w:sz w:val="24"/>
          <w:szCs w:val="24"/>
        </w:rPr>
      </w:pPr>
      <w:r>
        <w:rPr>
          <w:rFonts w:hint="eastAsia" w:cs="宋体"/>
          <w:color w:val="333333"/>
          <w:kern w:val="0"/>
          <w:sz w:val="24"/>
          <w:szCs w:val="24"/>
        </w:rPr>
        <w:t>第五类：家居建材</w:t>
      </w:r>
    </w:p>
    <w:p>
      <w:pPr>
        <w:widowControl/>
        <w:shd w:val="clear" w:color="auto" w:fill="FFFFFF"/>
        <w:ind w:firstLine="480" w:firstLineChars="200"/>
        <w:jc w:val="left"/>
        <w:rPr>
          <w:rFonts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第六类：文化用品</w:t>
      </w:r>
    </w:p>
    <w:p>
      <w:pPr>
        <w:widowControl/>
        <w:shd w:val="clear" w:color="auto" w:fill="FFFFFF"/>
        <w:ind w:firstLine="480" w:firstLineChars="200"/>
        <w:jc w:val="left"/>
        <w:rPr>
          <w:rFonts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第七类：绿植花卉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第八类：广播电视电影专用设备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第九类：运动户外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第十类：劳动保护用品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第十一类：安全防护</w:t>
      </w:r>
    </w:p>
    <w:p>
      <w:pPr>
        <w:widowControl/>
        <w:shd w:val="clear" w:color="auto" w:fill="FFFFFF"/>
        <w:ind w:firstLine="480" w:firstLineChars="200"/>
        <w:jc w:val="left"/>
        <w:rPr>
          <w:rFonts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第十二类：教学科研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第十三类：日用百货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第十四类：图书档案设备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第十五类：教育装备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第十六类：文艺设备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第十七类：电工电气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第十八类：仪器仪表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第十九类：五金</w:t>
      </w:r>
      <w:r>
        <w:rPr>
          <w:rFonts w:cs="宋体"/>
          <w:kern w:val="0"/>
          <w:sz w:val="24"/>
          <w:szCs w:val="24"/>
        </w:rPr>
        <w:t>/</w:t>
      </w:r>
      <w:r>
        <w:rPr>
          <w:rFonts w:hint="eastAsia" w:cs="宋体"/>
          <w:kern w:val="0"/>
          <w:sz w:val="24"/>
          <w:szCs w:val="24"/>
        </w:rPr>
        <w:t>工具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第二十类：机电设备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第二十一类：专用设备</w:t>
      </w:r>
    </w:p>
    <w:p>
      <w:pPr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第四条 订单手续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4.1 采购单位就订购商品品名、规格要求、数量、送货地址等内容向乙方发送订单。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4.2 乙方对接收的订单，应根据采购单位的要求，及时备货、送货，按承诺的内容进行售后服务。</w:t>
      </w:r>
    </w:p>
    <w:p>
      <w:pPr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第五条 商品费用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5.1 电子卖场商品最低优惠率为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 xml:space="preserve"> % ，乙方应按照不低于承诺的优惠率计算商品价格。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5.2 商品价格应包括：商品购置费、运输费、安装调试、税费、验收费和培训费等其他一切费用。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5.3 以上费用均含税金。</w:t>
      </w:r>
    </w:p>
    <w:p>
      <w:pPr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第六条 基本要求</w:t>
      </w:r>
    </w:p>
    <w:p>
      <w:pPr>
        <w:ind w:firstLine="560" w:firstLineChars="200"/>
        <w:outlineLvl w:val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6.1 包装要求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6.1.1 乙方所出售的全部货物均应按标准保护措施进行包装，此类包装应适用于远距离运输、防潮、防震、防锈和防野蛮装卸等要求。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6.1.2 按规定张贴标签或标识。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6.1.3 允许乙方依据自有服务模式组合包装配送，按不同产品国家标准执行。</w:t>
      </w:r>
    </w:p>
    <w:p>
      <w:pPr>
        <w:ind w:firstLine="560" w:firstLineChars="200"/>
        <w:outlineLvl w:val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6.2 辅助要求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乙方应提交所提供货物的技术文件，包括相应的每套设备和仪器的中文技术文件，例如:商品目录、图纸、操作手册、使用说明，维护手册或服务指南、质保证书等。此类文件应包装好随货发运。按不同产品国家标准执行。</w:t>
      </w:r>
    </w:p>
    <w:p>
      <w:pPr>
        <w:ind w:firstLine="560" w:firstLineChars="200"/>
        <w:outlineLvl w:val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6.3 退换要求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乙方承诺所售商品，自售出之日起 7 日内可以退货，15 日内可以换货。</w:t>
      </w:r>
    </w:p>
    <w:p>
      <w:pPr>
        <w:ind w:firstLine="562" w:firstLineChars="200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第七条 费用结算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7.1 采购单位应采用按次与乙方结算（经双方协商也可采用按月结算方式）。结算时乙方应向采购单位提供下列单据：</w:t>
      </w:r>
    </w:p>
    <w:p>
      <w:pPr>
        <w:ind w:firstLine="560" w:firstLineChars="200"/>
        <w:outlineLvl w:val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7.1.1 正式的项目填写全面、清楚的发票；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7.1.2 每次系统递交的合同或结算单（结算单应标明商品品名和商品数量）。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7.2 采购单位应对有关单据进行认真审核，审核无误后，须以转账、支票或公务卡方式向乙方支付有关费用，结算时一律不得使用现金。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7.3 采购资金涉及国库集中支付的按照财政国库支付相关规定执行。</w:t>
      </w:r>
    </w:p>
    <w:p>
      <w:pPr>
        <w:ind w:firstLine="562" w:firstLineChars="200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第八条 质量保证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8.1 乙方应保证所供货物是全新且未使用过的，并完全符合政府采购规定的质量、规格和性能要求。乙方应保证其货物在正确安装、正常使用和保养条件下，在使用寿命期内具有满意的性能。在货物最终交付验收后的质量保证期内，乙方应对由于设计、工艺或材料的缺陷而产生的故障负责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8.2 在质量保证期内，如果货物的质量或规格与协议不符，或证实货物存在缺陷，包括潜在的缺陷或使用不符合要求的材料等，采购单位可以根据本协议第十条规定，以书面形式向乙方提出补救措施或索赔。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8.3 按不同产品国家标准执行。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8.4 乙方在约定的时间内未能弥补缺陷，采购单位可采取必要的补救措施，但其风险和费用将由乙方承担，采购单位根据协议规定对乙方行使的其他权利不受影响。</w:t>
      </w:r>
    </w:p>
    <w:p>
      <w:pPr>
        <w:ind w:firstLine="562" w:firstLineChars="200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第九条 补救措施和索赔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9.1 采购单位有权根据质量检测部门出具的检验证书向乙方提出索赔。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9.2 在质量保证期内，如果乙方对缺陷商品负有责任而采购单位提出索赔，乙方应按照采购单位同意的下列一种或多种方式解决索赔事宜: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(1)乙方同意退货并将货款退还给采购单位，由此发生的一切费用和损失由乙方承担。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(2)根据货物的质量状况以及采购单位所遭受的损失，经过甲乙双方商定降低货物的价格。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(3)乙方应在接到采购单位通知后七天内负责采用符合合同规定的规格、质量和性能要求的新零件、部件和设备来更换有缺陷的部分或修补缺陷部分，但其费用及是否在质量保证期基础上相应延长修补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和/或</w:t>
      </w:r>
      <w:r>
        <w:rPr>
          <w:rFonts w:hint="eastAsia" w:asciiTheme="minorEastAsia" w:hAnsiTheme="minorEastAsia"/>
          <w:sz w:val="28"/>
          <w:szCs w:val="28"/>
        </w:rPr>
        <w:t>更换件的质量保证期按约定进行。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9.3 如果在采购单位发出索赔通知后十天内乙方未作答复，上述索赔应视为已被乙方接受。</w:t>
      </w:r>
    </w:p>
    <w:p>
      <w:pPr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第十条 履约延误</w:t>
      </w:r>
    </w:p>
    <w:p>
      <w:pPr>
        <w:ind w:firstLine="560" w:firstLineChars="200"/>
        <w:outlineLvl w:val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10.1 乙方应按采购合同（或订单）规定的时间、地点交货和提供服务。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10.2 在履行采购合同（或订单）过程中，如果乙方遇到妨碍按时交货和提供服务的情况时，应及时将拖延的事实、可能拖延的期限和理由通知采购单位。采购单位在收到乙方通知后，应尽快对情况进行评价，并确定是否同意延长交货时间或延期提供服务。</w:t>
      </w:r>
    </w:p>
    <w:p>
      <w:pPr>
        <w:ind w:firstLine="560" w:firstLineChars="200"/>
        <w:outlineLvl w:val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10.3 如乙方无正当理由而拖延交货，经协商无效，采购单位有权追究乙方的违约责任。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10.4 如采购单位需求错误或无故不签收(不验收)，需甲方介入协调。</w:t>
      </w:r>
    </w:p>
    <w:p>
      <w:pPr>
        <w:ind w:firstLine="562" w:firstLineChars="200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第十一条 不可抗力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highlight w:val="red"/>
        </w:rPr>
      </w:pPr>
      <w:r>
        <w:rPr>
          <w:rFonts w:hint="eastAsia" w:asciiTheme="minorEastAsia" w:hAnsiTheme="minorEastAsia"/>
          <w:sz w:val="28"/>
          <w:szCs w:val="28"/>
        </w:rPr>
        <w:t>11.1 如果协议各方因不可抗力而导致协议实施延误或不能履行协议义务，不承担误期赔偿或不能履行协议义务的责任。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11.2 本条所述的“不可抗力”系指那些双方不可预见、不可避免、不可克服的事件，包括但不限于:战争、严重火灾、洪水、台风、地震、国家政策的重大变化，以及双方商定的其他事件，但不包括双方的违约或疏忽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11.3 在不可抗力事件发生后，当事方应尽快以书面形式将不可抗力的情况和原因通知对方。协议各方应尽可能继续履行协议义务，并积极寻求采取合理的措施履行不受不可抗力影响的其他事项。协议各方应通过友好协商在合理的时间内达成进一步履行协议。</w:t>
      </w:r>
    </w:p>
    <w:p>
      <w:pPr>
        <w:ind w:firstLine="562" w:firstLineChars="200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第十二条 争议的解决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在所供商品发生质量、售后服务等问题时，经甲方协调无效后，采购单位有权直接向乙方索赔，签订必要的书面处理协议。如协商开始十天内仍不能解决的，任何一方有权在协议签约地选择仲裁或诉讼的途径解决。</w:t>
      </w:r>
    </w:p>
    <w:p>
      <w:pPr>
        <w:ind w:firstLine="562" w:firstLineChars="200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第十三条 其他约定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13.1 认真遵守职业道德和行业规范，严格执行财经纪律，杜绝送礼品、给回扣、报销费用等一切不正当竞争行为。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13.2 乙方应建立向其购货采购单位的档案，记录各采购单位的采购情况，并负责按照甲方的要求提供各类报表。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13.3 甲方将会同财政</w:t>
      </w:r>
      <w:r>
        <w:rPr>
          <w:rFonts w:hint="eastAsia" w:asciiTheme="minorEastAsia" w:hAnsiTheme="minorEastAsia"/>
          <w:sz w:val="28"/>
          <w:szCs w:val="28"/>
          <w:lang w:eastAsia="zh-CN"/>
        </w:rPr>
        <w:t>政府采购管理</w:t>
      </w:r>
      <w:r>
        <w:rPr>
          <w:rFonts w:hint="eastAsia" w:asciiTheme="minorEastAsia" w:hAnsiTheme="minorEastAsia"/>
          <w:sz w:val="28"/>
          <w:szCs w:val="28"/>
        </w:rPr>
        <w:t>部门不定期对商品质量及履约情况进行检查。</w:t>
      </w:r>
    </w:p>
    <w:p>
      <w:pPr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第十四条 违约处理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14.1 在甲方对乙方违约而采取的任何补救措施不受影响的情况下，甲方在报请财政政府采购</w:t>
      </w:r>
      <w:r>
        <w:rPr>
          <w:rFonts w:hint="eastAsia" w:asciiTheme="minorEastAsia" w:hAnsiTheme="minorEastAsia"/>
          <w:sz w:val="28"/>
          <w:szCs w:val="28"/>
          <w:lang w:eastAsia="zh-CN"/>
        </w:rPr>
        <w:t>管理</w:t>
      </w:r>
      <w:r>
        <w:rPr>
          <w:rFonts w:hint="eastAsia" w:asciiTheme="minorEastAsia" w:hAnsiTheme="minorEastAsia"/>
          <w:sz w:val="28"/>
          <w:szCs w:val="28"/>
        </w:rPr>
        <w:t>部门同意后可在下列情况下向乙方发出书面通知书，提出终止部分或全部协议。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(1)乙方提供的商品质量、配置不符合国家规定和公开承诺的标准;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(2)乙方没有按承诺的时间供货，维修或提供其他服务;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(3)乙方没有按承诺（或公开展示）的价格或优惠率签订合同并供货；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(4)乙方没有按订单确认的品牌、规格、型号提供商品；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(5)违反本协议和相关政府采购法律法规中的承诺和规定的其他情形。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甲方在提出终止协议的同时，取消乙方电子卖场供应商资格。同时，报经财政</w:t>
      </w:r>
      <w:r>
        <w:rPr>
          <w:rFonts w:hint="eastAsia" w:asciiTheme="minorEastAsia" w:hAnsiTheme="minorEastAsia"/>
          <w:sz w:val="28"/>
          <w:szCs w:val="28"/>
          <w:lang w:eastAsia="zh-CN"/>
        </w:rPr>
        <w:t>政府采购管理</w:t>
      </w:r>
      <w:r>
        <w:rPr>
          <w:rFonts w:hint="eastAsia" w:asciiTheme="minorEastAsia" w:hAnsiTheme="minorEastAsia"/>
          <w:sz w:val="28"/>
          <w:szCs w:val="28"/>
        </w:rPr>
        <w:t>部门批准按照相关政府采购法律法规的规定对其进行处理。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14.2 在售后服务、质量方面，乙方被投诉成立的，甲方根据政府采购相关规定报请财政</w:t>
      </w:r>
      <w:r>
        <w:rPr>
          <w:rFonts w:hint="eastAsia" w:asciiTheme="minorEastAsia" w:hAnsiTheme="minorEastAsia"/>
          <w:sz w:val="28"/>
          <w:szCs w:val="28"/>
          <w:lang w:eastAsia="zh-CN"/>
        </w:rPr>
        <w:t>政府采购管理</w:t>
      </w:r>
      <w:r>
        <w:rPr>
          <w:rFonts w:hint="eastAsia" w:asciiTheme="minorEastAsia" w:hAnsiTheme="minorEastAsia"/>
          <w:sz w:val="28"/>
          <w:szCs w:val="28"/>
        </w:rPr>
        <w:t>部门予以处理。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14.3 采购单位及其人员，不得向乙方提出超越供货范围的其他要求，如有违反，乙方应及时报财政</w:t>
      </w:r>
      <w:r>
        <w:rPr>
          <w:rFonts w:hint="eastAsia" w:asciiTheme="minorEastAsia" w:hAnsiTheme="minorEastAsia"/>
          <w:sz w:val="28"/>
          <w:szCs w:val="28"/>
          <w:lang w:eastAsia="zh-CN"/>
        </w:rPr>
        <w:t>政府采购管理</w:t>
      </w:r>
      <w:r>
        <w:rPr>
          <w:rFonts w:hint="eastAsia" w:asciiTheme="minorEastAsia" w:hAnsiTheme="minorEastAsia"/>
          <w:sz w:val="28"/>
          <w:szCs w:val="28"/>
        </w:rPr>
        <w:t>部门查处。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14.4 如果甲方根据上述的规定，终止了部分协议的，乙方应继续执行协议中未终止的部分。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14.5 如果乙方在履行协议过程中有不正当竟争行为，甲方有权解除协议，并按《中华人民共和国反不正当竞争法》之规定由有关部门追究其法律责任。</w:t>
      </w:r>
    </w:p>
    <w:p>
      <w:pPr>
        <w:ind w:firstLine="562" w:firstLineChars="200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第十五条 协议的生效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15.1 本协议经甲乙双方法定代表人或其委托人签字盖章后生效。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15.2 协议履行期内甲乙双方均不得随意变更或解除协议。协议书若有未尽事宜，需经双方共同协商，作出补充规定，补充规定与本协议书有同等法律效力。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15.3 所有本次征集活动过程中形成的文字资料、询问、承诺纪要均作为本协议的组成部分，具有同等效力。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15.4 本协议一式贰份，甲乙双方各执壹份。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甲方（盖章）：                    乙方（盖章）：</w:t>
      </w:r>
    </w:p>
    <w:p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法定代表人：                     法定代表人：</w:t>
      </w:r>
    </w:p>
    <w:p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或受委托人（签字）：              或受委托人（签字）：</w:t>
      </w:r>
    </w:p>
    <w:p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联系人：                         联系人：</w:t>
      </w:r>
    </w:p>
    <w:p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地  址：                         地  址：</w:t>
      </w:r>
    </w:p>
    <w:p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电  话：                         电  话：</w:t>
      </w:r>
    </w:p>
    <w:p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传  真：                         传  真：</w:t>
      </w:r>
    </w:p>
    <w:p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签约日期：2019年</w:t>
      </w:r>
      <w:r>
        <w:rPr>
          <w:rFonts w:asciiTheme="minorEastAsia" w:hAnsiTheme="minorEastAsia"/>
          <w:b/>
          <w:bCs/>
          <w:sz w:val="28"/>
          <w:szCs w:val="28"/>
        </w:rPr>
        <w:t>12</w:t>
      </w:r>
      <w:r>
        <w:rPr>
          <w:rFonts w:hint="eastAsia" w:asciiTheme="minorEastAsia" w:hAnsiTheme="minorEastAsia"/>
          <w:b/>
          <w:bCs/>
          <w:sz w:val="28"/>
          <w:szCs w:val="28"/>
        </w:rPr>
        <w:t>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4480"/>
    <w:rsid w:val="00007BCA"/>
    <w:rsid w:val="00056B33"/>
    <w:rsid w:val="000D1EA2"/>
    <w:rsid w:val="0029786E"/>
    <w:rsid w:val="002A1D32"/>
    <w:rsid w:val="002E7B91"/>
    <w:rsid w:val="0035581E"/>
    <w:rsid w:val="003660A2"/>
    <w:rsid w:val="00380B7C"/>
    <w:rsid w:val="00391FDB"/>
    <w:rsid w:val="00504B7F"/>
    <w:rsid w:val="00522F90"/>
    <w:rsid w:val="006D61EA"/>
    <w:rsid w:val="00794197"/>
    <w:rsid w:val="00872973"/>
    <w:rsid w:val="0089292D"/>
    <w:rsid w:val="008A0951"/>
    <w:rsid w:val="009256EE"/>
    <w:rsid w:val="009734C8"/>
    <w:rsid w:val="009D4480"/>
    <w:rsid w:val="00B4629F"/>
    <w:rsid w:val="00B53920"/>
    <w:rsid w:val="00BA1090"/>
    <w:rsid w:val="00D22C7A"/>
    <w:rsid w:val="00DF773B"/>
    <w:rsid w:val="00E411A0"/>
    <w:rsid w:val="00F17893"/>
    <w:rsid w:val="00F57E11"/>
    <w:rsid w:val="00F90A26"/>
    <w:rsid w:val="00F95AAB"/>
    <w:rsid w:val="01265E3E"/>
    <w:rsid w:val="027732F1"/>
    <w:rsid w:val="032264CD"/>
    <w:rsid w:val="03404FD9"/>
    <w:rsid w:val="03D2193A"/>
    <w:rsid w:val="05565885"/>
    <w:rsid w:val="05932EC6"/>
    <w:rsid w:val="07945FB8"/>
    <w:rsid w:val="0EB64525"/>
    <w:rsid w:val="128B0AA9"/>
    <w:rsid w:val="1467530A"/>
    <w:rsid w:val="15191AEE"/>
    <w:rsid w:val="1613257B"/>
    <w:rsid w:val="18574491"/>
    <w:rsid w:val="188E3E3B"/>
    <w:rsid w:val="18A772BA"/>
    <w:rsid w:val="1D1825FD"/>
    <w:rsid w:val="1EF55B76"/>
    <w:rsid w:val="1FFF13AE"/>
    <w:rsid w:val="20067C77"/>
    <w:rsid w:val="21CB78BF"/>
    <w:rsid w:val="23520AF0"/>
    <w:rsid w:val="24CD4526"/>
    <w:rsid w:val="259B1F18"/>
    <w:rsid w:val="264F42F3"/>
    <w:rsid w:val="27F2707D"/>
    <w:rsid w:val="287B1D60"/>
    <w:rsid w:val="2A95340F"/>
    <w:rsid w:val="2D290EE1"/>
    <w:rsid w:val="2D5D2829"/>
    <w:rsid w:val="2D7B3237"/>
    <w:rsid w:val="33B17B28"/>
    <w:rsid w:val="34326D34"/>
    <w:rsid w:val="34692EBC"/>
    <w:rsid w:val="35BD22DA"/>
    <w:rsid w:val="35F52885"/>
    <w:rsid w:val="38DE5098"/>
    <w:rsid w:val="39E46ED2"/>
    <w:rsid w:val="3A321680"/>
    <w:rsid w:val="3BFF7A21"/>
    <w:rsid w:val="43B23A18"/>
    <w:rsid w:val="43D45293"/>
    <w:rsid w:val="44ED189E"/>
    <w:rsid w:val="468B3E91"/>
    <w:rsid w:val="4CF95685"/>
    <w:rsid w:val="51E458EB"/>
    <w:rsid w:val="534D32AF"/>
    <w:rsid w:val="5A8430E6"/>
    <w:rsid w:val="5CF21B00"/>
    <w:rsid w:val="5EE60A31"/>
    <w:rsid w:val="60B30327"/>
    <w:rsid w:val="623F31EC"/>
    <w:rsid w:val="6303278C"/>
    <w:rsid w:val="69A35727"/>
    <w:rsid w:val="6BD176C2"/>
    <w:rsid w:val="6CD460C3"/>
    <w:rsid w:val="70BE295F"/>
    <w:rsid w:val="720470B3"/>
    <w:rsid w:val="74345096"/>
    <w:rsid w:val="76605EE2"/>
    <w:rsid w:val="77356101"/>
    <w:rsid w:val="7A630DE3"/>
    <w:rsid w:val="7A7A56F9"/>
    <w:rsid w:val="7CF4247E"/>
    <w:rsid w:val="7E6527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</Company>
  <Pages>8</Pages>
  <Words>560</Words>
  <Characters>3194</Characters>
  <Lines>26</Lines>
  <Paragraphs>7</Paragraphs>
  <TotalTime>23</TotalTime>
  <ScaleCrop>false</ScaleCrop>
  <LinksUpToDate>false</LinksUpToDate>
  <CharactersWithSpaces>3747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2019-05-22T03:31:00Z</dcterms:created>
  <dc:creator>王红</dc:creator>
  <cp:lastModifiedBy>123</cp:lastModifiedBy>
  <dcterms:modified xsi:type="dcterms:W3CDTF">2019-12-12T06:01:41Z</dcterms:modified>
  <dc:title>附件1： 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